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2277C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2277C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277C6" w:rsidRDefault="00413561">
                  <w:pPr>
                    <w:rPr>
                      <w:rStyle w:val="Lienhypertexte"/>
                      <w:rFonts w:ascii="Arial" w:hAnsi="Arial"/>
                      <w:b/>
                      <w:bCs/>
                      <w:color w:val="952037"/>
                      <w:u w:val="none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begin"/>
                  </w:r>
                  <w:r w:rsidR="002277C6"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instrText xml:space="preserve"> HYPERLINK "" </w:instrText>
                  </w: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separate"/>
                  </w:r>
                </w:p>
                <w:p w:rsidR="002277C6" w:rsidRDefault="002277C6">
                  <w:pPr>
                    <w:pStyle w:val="Titre1"/>
                  </w:pPr>
                  <w:r>
                    <w:rPr>
                      <w:rFonts w:ascii="Arial" w:hAnsi="Arial" w:cs="Arial"/>
                      <w:color w:val="952037"/>
                    </w:rPr>
                    <w:t>Muffins à la fraise</w:t>
                  </w:r>
                </w:p>
                <w:p w:rsidR="002277C6" w:rsidRDefault="00413561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end"/>
                  </w:r>
                </w:p>
              </w:tc>
            </w:tr>
          </w:tbl>
          <w:p w:rsidR="002277C6" w:rsidRDefault="002277C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2277C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111"/>
              <w:gridCol w:w="144"/>
              <w:gridCol w:w="5211"/>
            </w:tblGrid>
            <w:tr w:rsidR="002277C6">
              <w:trPr>
                <w:tblCellSpacing w:w="0" w:type="dxa"/>
              </w:trPr>
              <w:tc>
                <w:tcPr>
                  <w:tcW w:w="2250" w:type="dxa"/>
                </w:tcPr>
                <w:p w:rsidR="002277C6" w:rsidRDefault="00EE3C82">
                  <w:pPr>
                    <w:pStyle w:val="NormalWeb"/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226101" cy="2423160"/>
                        <wp:effectExtent l="19050" t="0" r="0" b="0"/>
                        <wp:docPr id="1" name="316784" descr="Muffins à la frai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6784" descr="Muffins à la fra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6101" cy="2423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277C6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2277C6" w:rsidRDefault="002277C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2277C6" w:rsidRDefault="002277C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092"/>
                    <w:gridCol w:w="119"/>
                  </w:tblGrid>
                  <w:tr w:rsidR="002277C6" w:rsidRPr="0082614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277C6" w:rsidRPr="00826145" w:rsidRDefault="002277C6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826145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82614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20 mn</w:t>
                        </w:r>
                        <w:r w:rsidRPr="00826145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82614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15 mn</w:t>
                        </w:r>
                        <w:r w:rsidRPr="00826145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82614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826145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Temps total :</w:t>
                        </w:r>
                        <w:r w:rsidRPr="0082614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35 mn</w:t>
                        </w:r>
                        <w:r w:rsidRPr="0082614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82614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826145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82614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277C6" w:rsidRPr="00826145" w:rsidRDefault="002277C6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277C6" w:rsidRDefault="002277C6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826145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4 personnes :</w:t>
                  </w:r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Pour environ 8 muffins :</w:t>
                  </w:r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 w:rsidRPr="00826145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300 g</w:t>
                    </w:r>
                  </w:smartTag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farine</w:t>
                  </w:r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paquet de levure chimique</w:t>
                  </w:r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pincée de sel</w:t>
                  </w:r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 w:rsidRPr="00826145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50 g</w:t>
                    </w:r>
                  </w:smartTag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</w:t>
                  </w:r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- 1 </w:t>
                  </w:r>
                  <w:proofErr w:type="spellStart"/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oeuf</w:t>
                  </w:r>
                  <w:proofErr w:type="spellEnd"/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- 30 cl de lait</w:t>
                  </w:r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- 4 cuillères à soupe de beurre fondu</w:t>
                  </w:r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zestes de citron</w:t>
                  </w:r>
                  <w:r w:rsidRPr="0082614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hyperlink r:id="rId5" w:tgtFrame="_blanc" w:history="1">
                    <w:r w:rsidRPr="00826145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fraises</w:t>
                    </w:r>
                  </w:hyperlink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2277C6" w:rsidRDefault="002277C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2277C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2277C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2277C6" w:rsidRDefault="002277C6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2277C6" w:rsidRDefault="002277C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2277C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2277C6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2277C6" w:rsidRDefault="002277C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2277C6" w:rsidRDefault="002277C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2277C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277C6">
              <w:trPr>
                <w:tblCellSpacing w:w="15" w:type="dxa"/>
              </w:trPr>
              <w:tc>
                <w:tcPr>
                  <w:tcW w:w="0" w:type="pct"/>
                </w:tcPr>
                <w:p w:rsidR="002277C6" w:rsidRDefault="002277C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2277C6" w:rsidRDefault="002277C6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Mélanger la farine, la levure, le sel et le sucre. Ajouter le lait et le beurre, puis l'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battu. Mélanger. La pâte ne doit pas être lisse mais au contraire granuleuse (c'est ça l'avantage des muffins).</w:t>
                  </w:r>
                </w:p>
              </w:tc>
            </w:tr>
          </w:tbl>
          <w:p w:rsidR="002277C6" w:rsidRDefault="002277C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2277C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277C6">
              <w:trPr>
                <w:tblCellSpacing w:w="15" w:type="dxa"/>
              </w:trPr>
              <w:tc>
                <w:tcPr>
                  <w:tcW w:w="0" w:type="pct"/>
                </w:tcPr>
                <w:p w:rsidR="002277C6" w:rsidRDefault="002277C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2277C6" w:rsidRDefault="002277C6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Découper les </w:t>
                  </w:r>
                  <w:hyperlink r:id="rId6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fraises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en dés et ajouter à la pâte ainsi que les zestes de </w:t>
                  </w:r>
                  <w:hyperlink r:id="rId7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citrons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277C6" w:rsidRDefault="002277C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2277C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277C6">
              <w:trPr>
                <w:tblCellSpacing w:w="15" w:type="dxa"/>
              </w:trPr>
              <w:tc>
                <w:tcPr>
                  <w:tcW w:w="0" w:type="pct"/>
                </w:tcPr>
                <w:p w:rsidR="002277C6" w:rsidRDefault="002277C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2277C6" w:rsidRDefault="002277C6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Remplir les </w:t>
                  </w:r>
                  <w:hyperlink r:id="rId8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moules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aux 3/4 et mettre au four à </w:t>
                  </w:r>
                  <w:smartTag w:uri="urn:schemas-microsoft-com:office:smarttags" w:element="metricconverter">
                    <w:smartTagPr>
                      <w:attr w:name="ProductID" w:val="200°C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200°C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pendant environ 15 à 20 minutes.</w:t>
                  </w:r>
                </w:p>
              </w:tc>
            </w:tr>
          </w:tbl>
          <w:p w:rsidR="002277C6" w:rsidRDefault="002277C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2277C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2277C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2277C6" w:rsidRDefault="002277C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A déguster chaud accompagné d'une tasse de thé ou de café au petit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déj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ou au goûter.</w:t>
                  </w:r>
                </w:p>
              </w:tc>
            </w:tr>
          </w:tbl>
          <w:p w:rsidR="002277C6" w:rsidRDefault="002277C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906CB7"/>
    <w:sectPr w:rsidR="00906CB7" w:rsidSect="00826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277C6"/>
    <w:rsid w:val="002277C6"/>
    <w:rsid w:val="00413561"/>
    <w:rsid w:val="00802F55"/>
    <w:rsid w:val="00825D51"/>
    <w:rsid w:val="00826145"/>
    <w:rsid w:val="00906CB7"/>
    <w:rsid w:val="00EE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561"/>
    <w:rPr>
      <w:sz w:val="24"/>
      <w:szCs w:val="24"/>
    </w:rPr>
  </w:style>
  <w:style w:type="paragraph" w:styleId="Titre1">
    <w:name w:val="heading 1"/>
    <w:basedOn w:val="Normal"/>
    <w:qFormat/>
    <w:rsid w:val="002277C6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277C6"/>
    <w:rPr>
      <w:color w:val="333333"/>
      <w:u w:val="single"/>
    </w:rPr>
  </w:style>
  <w:style w:type="paragraph" w:styleId="NormalWeb">
    <w:name w:val="Normal (Web)"/>
    <w:basedOn w:val="Normal"/>
    <w:rsid w:val="002277C6"/>
    <w:pPr>
      <w:spacing w:before="100" w:beforeAutospacing="1" w:after="75"/>
    </w:pPr>
  </w:style>
  <w:style w:type="character" w:styleId="lev">
    <w:name w:val="Strong"/>
    <w:basedOn w:val="Policepardfaut"/>
    <w:qFormat/>
    <w:rsid w:val="002277C6"/>
    <w:rPr>
      <w:b/>
      <w:bCs/>
    </w:rPr>
  </w:style>
  <w:style w:type="paragraph" w:styleId="Textedebulles">
    <w:name w:val="Balloon Text"/>
    <w:basedOn w:val="Normal"/>
    <w:link w:val="TextedebullesCar"/>
    <w:rsid w:val="008261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2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94/moule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encyclopedie/fiche_composant/83/citron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137/fraise.shtml" TargetMode="External"/><Relationship Id="rId5" Type="http://schemas.openxmlformats.org/officeDocument/2006/relationships/hyperlink" Target="http://www.linternaute.com/femmes/cuisine/encyclopedie/fiche_composant/137/fraise.s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1332</CharactersWithSpaces>
  <SharedDoc>false</SharedDoc>
  <HLinks>
    <vt:vector size="72" baseType="variant">
      <vt:variant>
        <vt:i4>1703981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2949123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8192006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5505036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http://www.linternaute.com/femmes/cuisine/cgi/livrerecette/annotation_recette.php?f_id_recette=311823&amp;f_type=a</vt:lpwstr>
      </vt:variant>
      <vt:variant>
        <vt:lpwstr/>
      </vt:variant>
      <vt:variant>
        <vt:i4>5505036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http://www.linternaute.com/femmes/cuisine/cgi/livrerecette/annotation_recette.php?f_id_recette=311823&amp;f_type=a</vt:lpwstr>
      </vt:variant>
      <vt:variant>
        <vt:lpwstr/>
      </vt:variant>
      <vt:variant>
        <vt:i4>6881281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http://www.linternaute.com/femmes/cuisine/cgi/avis/depose_avis.php?f_id_recette=311823</vt:lpwstr>
      </vt:variant>
      <vt:variant>
        <vt:lpwstr/>
      </vt:variant>
      <vt:variant>
        <vt:i4>4456485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http://www.linternaute.com/femmes/cuisine/cgi/mail/envoyer_recette.php?f_id_recette=311823</vt:lpwstr>
      </vt:variant>
      <vt:variant>
        <vt:lpwstr/>
      </vt:variant>
      <vt:variant>
        <vt:i4>8192006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4718653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http://www.linternaute.com/femmes/cuisine/personne/3602814/1167050453/1/jocelyne_od.shtml</vt:lpwstr>
      </vt:variant>
      <vt:variant>
        <vt:lpwstr/>
      </vt:variant>
      <vt:variant>
        <vt:i4>6881293</vt:i4>
      </vt:variant>
      <vt:variant>
        <vt:i4>9</vt:i4>
      </vt:variant>
      <vt:variant>
        <vt:i4>0</vt:i4>
      </vt:variant>
      <vt:variant>
        <vt:i4>5</vt:i4>
      </vt:variant>
      <vt:variant>
        <vt:lpwstr>http://copainsdavant.linternaute.com/membre/3602814/1167050453/jocelyne_od.shtml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2014-04-26T16:56:00Z</dcterms:created>
  <dcterms:modified xsi:type="dcterms:W3CDTF">2014-04-26T17:03:00Z</dcterms:modified>
</cp:coreProperties>
</file>