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47" w:rsidRDefault="00DD4813" w:rsidP="00C15847">
      <w:pPr>
        <w:pStyle w:val="Titre1"/>
        <w:rPr>
          <w:rStyle w:val="Lienhypertexte"/>
        </w:rPr>
      </w:pPr>
      <w:r w:rsidRPr="00DD4813">
        <w:fldChar w:fldCharType="begin"/>
      </w:r>
      <w:r w:rsidR="00DE5CED">
        <w:instrText xml:space="preserve"> HYPERLINK "http://www.linternaute.com/femmes/cuisine/recette/321564/1402630579/buns_aux_groseilles.shtml" </w:instrText>
      </w:r>
      <w:r w:rsidRPr="00DD4813">
        <w:fldChar w:fldCharType="separate"/>
      </w:r>
      <w:r w:rsidR="00C15847">
        <w:rPr>
          <w:rStyle w:val="Lienhypertexte"/>
        </w:rPr>
        <w:t>Buns aux groseilles</w:t>
      </w:r>
      <w:r>
        <w:rPr>
          <w:rStyle w:val="Lienhypertexte"/>
        </w:rPr>
        <w:fldChar w:fldCharType="end"/>
      </w:r>
      <w:r w:rsidR="00DE5CED">
        <w:rPr>
          <w:rStyle w:val="Lienhypertexte"/>
        </w:rPr>
        <w:t xml:space="preserve"> de Blandine</w:t>
      </w:r>
    </w:p>
    <w:p w:rsidR="00DA7E07" w:rsidRDefault="00DA7E07" w:rsidP="00C15847">
      <w:pPr>
        <w:pStyle w:val="Titre1"/>
      </w:pPr>
      <w:r>
        <w:rPr>
          <w:noProof/>
        </w:rPr>
        <w:drawing>
          <wp:inline distT="0" distB="0" distL="0" distR="0">
            <wp:extent cx="6125210" cy="4593590"/>
            <wp:effectExtent l="19050" t="0" r="8890" b="0"/>
            <wp:docPr id="2" name="irc_mi" descr="http://icu.linter.fr/750/333495/1354761152/buns-aux-grosei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33495/1354761152/buns-aux-groseill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459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C15847" w:rsidTr="00C1584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15847" w:rsidRDefault="00C15847"/>
        </w:tc>
      </w:tr>
      <w:tr w:rsidR="00C15847" w:rsidTr="00C1584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3499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065"/>
              <w:gridCol w:w="144"/>
              <w:gridCol w:w="3290"/>
            </w:tblGrid>
            <w:tr w:rsidR="00C15847" w:rsidTr="00DE5CED">
              <w:trPr>
                <w:tblCellSpacing w:w="0" w:type="dxa"/>
              </w:trPr>
              <w:tc>
                <w:tcPr>
                  <w:tcW w:w="10065" w:type="dxa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0065"/>
                  </w:tblGrid>
                  <w:tr w:rsidR="00DE5CED" w:rsidTr="00CA649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E5CED" w:rsidRDefault="00DE5CED" w:rsidP="00DE5CED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 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20 mn - </w:t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80 mn </w:t>
                        </w:r>
                        <w:r>
                          <w:br/>
                        </w:r>
                      </w:p>
                    </w:tc>
                  </w:tr>
                </w:tbl>
                <w:p w:rsidR="00DE5CED" w:rsidRDefault="00DE5CED" w:rsidP="00DE5CED">
                  <w:r>
                    <w:rPr>
                      <w:b/>
                      <w:bCs/>
                    </w:rPr>
                    <w:t>Pour 6 personnes :</w:t>
                  </w:r>
                  <w:bookmarkStart w:id="0" w:name="_GoBack"/>
                  <w:bookmarkEnd w:id="0"/>
                  <w:r>
                    <w:rPr>
                      <w:rFonts w:hAnsi="Symbol"/>
                    </w:rPr>
                    <w:t></w:t>
                  </w:r>
                  <w:r>
                    <w:t xml:space="preserve">  Pour 6 buns :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225 g"/>
                    </w:smartTagPr>
                    <w:r>
                      <w:t>225 g</w:t>
                    </w:r>
                  </w:smartTag>
                  <w:r>
                    <w:t xml:space="preserve"> de farine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5 g"/>
                    </w:smartTagPr>
                    <w:r>
                      <w:t>5 g</w:t>
                    </w:r>
                  </w:smartTag>
                  <w:r>
                    <w:t xml:space="preserve"> de levure sèche de boulanger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r>
                    <w:t xml:space="preserve">  1 pincée de sel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>
                      <w:t>25 g</w:t>
                    </w:r>
                  </w:smartTag>
                  <w:r>
                    <w:t xml:space="preserve"> de sucre roux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d'eau de fleur d'oranger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r>
                    <w:t xml:space="preserve">  10 cl de lait tiède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r>
                    <w:t xml:space="preserve">  1 </w:t>
                  </w:r>
                  <w:proofErr w:type="spellStart"/>
                  <w:r>
                    <w:t>oeuf</w:t>
                  </w:r>
                  <w:proofErr w:type="spellEnd"/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>
                      <w:t>25 g</w:t>
                    </w:r>
                  </w:smartTag>
                  <w:r>
                    <w:t xml:space="preserve"> de beurre </w:t>
                  </w:r>
                </w:p>
                <w:p w:rsidR="00DE5CED" w:rsidRDefault="00DE5CED" w:rsidP="00DE5CED">
                  <w:r>
                    <w:rPr>
                      <w:rFonts w:hAnsi="Symbol"/>
                    </w:rPr>
                    <w:t>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t>75 g</w:t>
                    </w:r>
                  </w:smartTag>
                  <w:r>
                    <w:t xml:space="preserve"> de </w:t>
                  </w:r>
                  <w:hyperlink r:id="rId6" w:tgtFrame="_blank" w:history="1">
                    <w:r>
                      <w:rPr>
                        <w:rStyle w:val="Lienhypertexte"/>
                      </w:rPr>
                      <w:t>groseilles</w:t>
                    </w:r>
                  </w:hyperlink>
                  <w:r>
                    <w:t xml:space="preserve"> égrappées</w:t>
                  </w:r>
                </w:p>
                <w:p w:rsidR="00DE5CED" w:rsidRDefault="00DE5CED" w:rsidP="00C15847"/>
                <w:p w:rsidR="00C15847" w:rsidRDefault="00C15847" w:rsidP="00C15847"/>
              </w:tc>
              <w:tc>
                <w:tcPr>
                  <w:tcW w:w="144" w:type="dxa"/>
                </w:tcPr>
                <w:p w:rsidR="00C15847" w:rsidRDefault="00C15847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C15847" w:rsidRDefault="00C15847"/>
              </w:tc>
            </w:tr>
          </w:tbl>
          <w:p w:rsidR="00C15847" w:rsidRDefault="00C15847"/>
        </w:tc>
      </w:tr>
      <w:tr w:rsidR="00C15847" w:rsidTr="00C15847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C15847" w:rsidRDefault="00C15847" w:rsidP="00DE5CED">
            <w:pPr>
              <w:spacing w:before="100" w:beforeAutospacing="1" w:after="100" w:afterAutospacing="1"/>
              <w:ind w:left="360"/>
            </w:pPr>
            <w:r>
              <w:t> Préparation </w:t>
            </w:r>
          </w:p>
        </w:tc>
      </w:tr>
      <w:tr w:rsidR="00C15847" w:rsidTr="00C1584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C15847" w:rsidTr="00DE5CED">
              <w:trPr>
                <w:tblCellSpacing w:w="15" w:type="dxa"/>
              </w:trPr>
              <w:tc>
                <w:tcPr>
                  <w:tcW w:w="1560" w:type="dxa"/>
                </w:tcPr>
                <w:p w:rsidR="00C15847" w:rsidRDefault="000D4B5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711200"/>
                        <wp:effectExtent l="19050" t="0" r="1905" b="0"/>
                        <wp:docPr id="3" name="Image 3" descr="Buns aux groseil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ns aux groseil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22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C15847" w:rsidRDefault="00C1584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Mélanger dans un saladier la farine, le sucre et le sel. Faire un puits au centre du saladier et verser le lait avec la levure délayée, l'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battu, l'eau de fleur d'oranger et le beurre fondu. Mélanger jusqu'à obtenir une boule, ajouter les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groseilles</w:t>
                    </w:r>
                  </w:hyperlink>
                  <w:r>
                    <w:t xml:space="preserve">. Pétrir la pâte pendant 10 minutes et ensuite la laisser reposer à température ambiante pendant 45 minutes. </w:t>
                  </w:r>
                </w:p>
              </w:tc>
            </w:tr>
            <w:tr w:rsidR="00C15847" w:rsidTr="00DE5CED">
              <w:trPr>
                <w:tblCellSpacing w:w="15" w:type="dxa"/>
              </w:trPr>
              <w:tc>
                <w:tcPr>
                  <w:tcW w:w="1560" w:type="dxa"/>
                </w:tcPr>
                <w:p w:rsidR="00C15847" w:rsidRDefault="000D4B50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950595" cy="711200"/>
                        <wp:effectExtent l="19050" t="0" r="1905" b="0"/>
                        <wp:docPr id="4" name="Image 4" descr="Buns aux groseil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ns aux groseil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422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C15847" w:rsidRDefault="00C15847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Former 6 petites boules et les poser sur une plaque de cuisson. Laisser reposer à nouveau pendant 35 minutes. Préchauffer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>. Enfourner la plaque de cuisson et laisser cuire 15 à 20 minutes, jusqu'à ce que se forme une croûte légèrement dorée. Servir tiède.</w:t>
                  </w:r>
                </w:p>
              </w:tc>
            </w:tr>
          </w:tbl>
          <w:p w:rsidR="00C15847" w:rsidRDefault="00C15847">
            <w:pPr>
              <w:ind w:left="720"/>
            </w:pPr>
          </w:p>
        </w:tc>
      </w:tr>
    </w:tbl>
    <w:p w:rsidR="00035A1B" w:rsidRDefault="00035A1B"/>
    <w:sectPr w:rsidR="00035A1B" w:rsidSect="00DE5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A53"/>
    <w:multiLevelType w:val="multilevel"/>
    <w:tmpl w:val="9A64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C15847"/>
    <w:rsid w:val="00035A1B"/>
    <w:rsid w:val="000D4B50"/>
    <w:rsid w:val="00C15847"/>
    <w:rsid w:val="00DA01DD"/>
    <w:rsid w:val="00DA7E07"/>
    <w:rsid w:val="00DD4813"/>
    <w:rsid w:val="00DE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813"/>
    <w:rPr>
      <w:sz w:val="24"/>
      <w:szCs w:val="24"/>
    </w:rPr>
  </w:style>
  <w:style w:type="paragraph" w:styleId="Titre1">
    <w:name w:val="heading 1"/>
    <w:basedOn w:val="Normal"/>
    <w:qFormat/>
    <w:rsid w:val="00C158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C15847"/>
    <w:rPr>
      <w:b/>
      <w:bCs/>
    </w:rPr>
  </w:style>
  <w:style w:type="character" w:styleId="Lienhypertexte">
    <w:name w:val="Hyperlink"/>
    <w:basedOn w:val="Policepardfaut"/>
    <w:rsid w:val="00C1584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E5C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5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324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106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9/groseille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39/groseille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Buns aux groseilles  </vt:lpstr>
    </vt:vector>
  </TitlesOfParts>
  <Company>LSD Corp</Company>
  <LinksUpToDate>false</LinksUpToDate>
  <CharactersWithSpaces>1378</CharactersWithSpaces>
  <SharedDoc>false</SharedDoc>
  <HLinks>
    <vt:vector size="66" baseType="variant">
      <vt:variant>
        <vt:i4>2293840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2293840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4128840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http://www.linternaute.com/femmes/cuisine/personne/4932922/1089324034/1/blandine_bertrand.shtml</vt:lpwstr>
      </vt:variant>
      <vt:variant>
        <vt:lpwstr/>
      </vt:variant>
      <vt:variant>
        <vt:i4>1835130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http://copainsdavant.linternaute.com/membre/4932922/1089324034/blandine_bertrand.shtml</vt:lpwstr>
      </vt:variant>
      <vt:variant>
        <vt:lpwstr/>
      </vt:variant>
      <vt:variant>
        <vt:i4>7929902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javascript:openWindow('/cgi/recette/image.php?f_id_recette=321564&amp;f_cle_recette=1402630579');</vt:lpwstr>
      </vt:variant>
      <vt:variant>
        <vt:lpwstr/>
      </vt:variant>
      <vt:variant>
        <vt:i4>1900562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http://www.linternaute.com/femmes/cuisine/recette/321564/1402630579/buns_aux_groseilles.shtml</vt:lpwstr>
      </vt:variant>
      <vt:variant>
        <vt:lpwstr/>
      </vt:variant>
      <vt:variant>
        <vt:i4>5242885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http://www.linternaute.com/femmes/cuisine/cgi/livrerecette/annotation_recette.php?f_id_recette=321564&amp;f_type=a</vt:lpwstr>
      </vt:variant>
      <vt:variant>
        <vt:lpwstr/>
      </vt:variant>
      <vt:variant>
        <vt:i4>6291461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http://www.linternaute.com/femmes/cuisine/cgi/avis/depose_avis.php?f_id_recette=321564</vt:lpwstr>
      </vt:variant>
      <vt:variant>
        <vt:lpwstr/>
      </vt:variant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http://www.linternaute.com/femmes/cuisine/cgi/mail/envoyer_recette.php?f_id_recette=321564</vt:lpwstr>
      </vt:variant>
      <vt:variant>
        <vt:lpwstr/>
      </vt:variant>
      <vt:variant>
        <vt:i4>7340142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javascript:openWindow('/cgi/recette/imprimer.php?f_id_recette=321564&amp;f_cle_recette=1402630579');</vt:lpwstr>
      </vt:variant>
      <vt:variant>
        <vt:lpwstr/>
      </vt:variant>
      <vt:variant>
        <vt:i4>1900562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http://www.linternaute.com/femmes/cuisine/recette/321564/1402630579/buns_aux_groseilles.shtml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Buns aux groseilles</dc:title>
  <dc:creator>LSD Ghost</dc:creator>
  <cp:lastModifiedBy>Utilisateur</cp:lastModifiedBy>
  <cp:revision>4</cp:revision>
  <dcterms:created xsi:type="dcterms:W3CDTF">2014-11-06T19:08:00Z</dcterms:created>
  <dcterms:modified xsi:type="dcterms:W3CDTF">2014-11-25T14:53:00Z</dcterms:modified>
</cp:coreProperties>
</file>